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885" w:type="dxa"/>
        <w:tblLook w:val="04A0"/>
      </w:tblPr>
      <w:tblGrid>
        <w:gridCol w:w="1702"/>
        <w:gridCol w:w="7545"/>
      </w:tblGrid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標題</w:t>
            </w:r>
          </w:p>
        </w:tc>
        <w:tc>
          <w:tcPr>
            <w:tcW w:w="7545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bdr w:val="none" w:sz="0" w:space="0" w:color="auto" w:frame="1"/>
                <w:shd w:val="clear" w:color="auto" w:fill="E6ECF9"/>
              </w:rPr>
              <w:t>3D</w:t>
            </w:r>
            <w:r w:rsidRPr="0083722E">
              <w:rPr>
                <w:rFonts w:hint="eastAsia"/>
                <w:bdr w:val="none" w:sz="0" w:space="0" w:color="auto" w:frame="1"/>
                <w:shd w:val="clear" w:color="auto" w:fill="E6ECF9"/>
              </w:rPr>
              <w:t>眼鏡</w:t>
            </w:r>
            <w:r w:rsidRPr="0083722E">
              <w:rPr>
                <w:bdr w:val="none" w:sz="0" w:space="0" w:color="auto" w:frame="1"/>
                <w:shd w:val="clear" w:color="auto" w:fill="E6ECF9"/>
              </w:rPr>
              <w:t>-</w:t>
            </w:r>
            <w:proofErr w:type="spellStart"/>
            <w:r w:rsidRPr="0083722E">
              <w:rPr>
                <w:bdr w:val="none" w:sz="0" w:space="0" w:color="auto" w:frame="1"/>
                <w:shd w:val="clear" w:color="auto" w:fill="E6ECF9"/>
              </w:rPr>
              <w:t>Vuzix</w:t>
            </w:r>
            <w:proofErr w:type="spellEnd"/>
            <w:r w:rsidRPr="0083722E">
              <w:rPr>
                <w:bdr w:val="none" w:sz="0" w:space="0" w:color="auto" w:frame="1"/>
                <w:shd w:val="clear" w:color="auto" w:fill="E6ECF9"/>
              </w:rPr>
              <w:t xml:space="preserve"> Wrap 920 +</w:t>
            </w:r>
            <w:r w:rsidRPr="0083722E">
              <w:rPr>
                <w:rFonts w:hint="eastAsia"/>
                <w:bdr w:val="none" w:sz="0" w:space="0" w:color="auto" w:frame="1"/>
                <w:shd w:val="clear" w:color="auto" w:fill="E6ECF9"/>
              </w:rPr>
              <w:t>加贈</w:t>
            </w:r>
            <w:r w:rsidRPr="0083722E">
              <w:rPr>
                <w:bdr w:val="none" w:sz="0" w:space="0" w:color="auto" w:frame="1"/>
                <w:shd w:val="clear" w:color="auto" w:fill="E6ECF9"/>
              </w:rPr>
              <w:t>VGA Adapter</w:t>
            </w:r>
            <w:r w:rsidRPr="0083722E">
              <w:t>(</w:t>
            </w:r>
            <w:r w:rsidRPr="0083722E">
              <w:rPr>
                <w:rFonts w:hint="eastAsia"/>
              </w:rPr>
              <w:t>送完為止</w:t>
            </w:r>
            <w:r w:rsidRPr="0083722E">
              <w:t>)</w:t>
            </w:r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商品說明</w:t>
            </w:r>
          </w:p>
        </w:tc>
        <w:tc>
          <w:tcPr>
            <w:tcW w:w="7545" w:type="dxa"/>
          </w:tcPr>
          <w:p w:rsidR="00E32A2D" w:rsidRPr="0083722E" w:rsidRDefault="0083722E" w:rsidP="0083722E">
            <w:pPr>
              <w:pStyle w:val="a9"/>
              <w:rPr>
                <w:rFonts w:hint="eastAsia"/>
              </w:rPr>
            </w:pPr>
            <w:r w:rsidRPr="0083722E">
              <w:rPr>
                <w:rFonts w:hint="eastAsia"/>
              </w:rPr>
              <w:t>還記得《阿凡達》超酷的</w:t>
            </w:r>
            <w:r w:rsidRPr="0083722E">
              <w:t>3D</w:t>
            </w:r>
            <w:r w:rsidRPr="0083722E">
              <w:rPr>
                <w:rFonts w:hint="eastAsia"/>
              </w:rPr>
              <w:t>效果嗎？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您一定還想再次感受那震撼的效果吧？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或許這付太陽眼鏡能給你不同的感覺。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這是來自</w:t>
            </w:r>
            <w:proofErr w:type="spellStart"/>
            <w:r w:rsidRPr="0083722E">
              <w:t>Vuzix</w:t>
            </w:r>
            <w:proofErr w:type="spellEnd"/>
            <w:r w:rsidRPr="0083722E">
              <w:rPr>
                <w:rFonts w:hint="eastAsia"/>
              </w:rPr>
              <w:t>公司的</w:t>
            </w:r>
            <w:r w:rsidRPr="0083722E">
              <w:t>Wrap 920</w:t>
            </w:r>
            <w:r w:rsidRPr="0083722E">
              <w:rPr>
                <w:rFonts w:hint="eastAsia"/>
              </w:rPr>
              <w:t>眼鏡。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戴上這款眼鏡</w:t>
            </w:r>
          </w:p>
          <w:p w:rsidR="0083722E" w:rsidRPr="0083722E" w:rsidRDefault="0083722E" w:rsidP="0083722E">
            <w:pPr>
              <w:pStyle w:val="a9"/>
              <w:rPr>
                <w:rFonts w:hint="eastAsia"/>
              </w:rPr>
            </w:pPr>
          </w:p>
          <w:p w:rsidR="0083722E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贈送</w:t>
            </w:r>
            <w:r w:rsidRPr="0083722E">
              <w:t>Wrap VGA</w:t>
            </w:r>
            <w:r w:rsidRPr="0083722E">
              <w:rPr>
                <w:rFonts w:hint="eastAsia"/>
              </w:rPr>
              <w:t>轉接器：適用於</w:t>
            </w:r>
            <w:r w:rsidRPr="0083722E">
              <w:t>Wrap</w:t>
            </w:r>
            <w:r w:rsidRPr="0083722E">
              <w:rPr>
                <w:rFonts w:hint="eastAsia"/>
              </w:rPr>
              <w:t>視頻眼鏡，與</w:t>
            </w:r>
            <w:proofErr w:type="gramStart"/>
            <w:r w:rsidRPr="0083722E">
              <w:rPr>
                <w:rFonts w:hint="eastAsia"/>
              </w:rPr>
              <w:t>臺</w:t>
            </w:r>
            <w:proofErr w:type="gramEnd"/>
            <w:r w:rsidRPr="0083722E">
              <w:rPr>
                <w:rFonts w:hint="eastAsia"/>
              </w:rPr>
              <w:t>式電腦或筆記本電腦的</w:t>
            </w:r>
            <w:r w:rsidRPr="0083722E">
              <w:t>VGA</w:t>
            </w:r>
            <w:r w:rsidRPr="0083722E">
              <w:rPr>
                <w:rFonts w:hint="eastAsia"/>
              </w:rPr>
              <w:t>接頭連接，可瀏覽</w:t>
            </w:r>
            <w:r w:rsidRPr="0083722E">
              <w:t>2D</w:t>
            </w:r>
            <w:r w:rsidRPr="0083722E">
              <w:rPr>
                <w:rFonts w:hint="eastAsia"/>
              </w:rPr>
              <w:t>以及並排或立體模式</w:t>
            </w:r>
            <w:r w:rsidRPr="0083722E">
              <w:t>3D</w:t>
            </w:r>
            <w:r w:rsidRPr="0083722E">
              <w:rPr>
                <w:rFonts w:hint="eastAsia"/>
              </w:rPr>
              <w:t>視頻。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可通過超級視頻連接提供優質畫面</w:t>
            </w:r>
            <w:r w:rsidRPr="0083722E">
              <w:t>(</w:t>
            </w:r>
            <w:r w:rsidRPr="0083722E">
              <w:rPr>
                <w:rFonts w:hint="eastAsia"/>
              </w:rPr>
              <w:t>送完為止</w:t>
            </w:r>
            <w:r w:rsidRPr="0083722E">
              <w:t>)</w:t>
            </w:r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商品介紹</w:t>
            </w:r>
          </w:p>
        </w:tc>
        <w:tc>
          <w:tcPr>
            <w:tcW w:w="7545" w:type="dxa"/>
          </w:tcPr>
          <w:p w:rsidR="0083722E" w:rsidRPr="0083722E" w:rsidRDefault="0083722E" w:rsidP="0083722E">
            <w:pPr>
              <w:pStyle w:val="a9"/>
              <w:rPr>
                <w:szCs w:val="36"/>
              </w:rPr>
            </w:pPr>
            <w:r w:rsidRPr="0083722E">
              <w:rPr>
                <w:rFonts w:hint="eastAsia"/>
              </w:rPr>
              <w:t>眼鏡支援</w:t>
            </w:r>
            <w:r w:rsidRPr="0083722E">
              <w:t>2D</w:t>
            </w:r>
            <w:r w:rsidRPr="0083722E">
              <w:rPr>
                <w:rFonts w:hint="eastAsia"/>
              </w:rPr>
              <w:t>和</w:t>
            </w:r>
            <w:r w:rsidRPr="0083722E">
              <w:t>3D</w:t>
            </w:r>
            <w:r w:rsidRPr="0083722E">
              <w:rPr>
                <w:rFonts w:hint="eastAsia"/>
              </w:rPr>
              <w:t>視頻格式，相容</w:t>
            </w:r>
            <w:r w:rsidRPr="0083722E">
              <w:t>NTSC</w:t>
            </w:r>
            <w:r w:rsidRPr="0083722E">
              <w:rPr>
                <w:rFonts w:hint="eastAsia"/>
              </w:rPr>
              <w:t>和</w:t>
            </w:r>
            <w:r w:rsidRPr="0083722E">
              <w:t>PAL</w:t>
            </w:r>
            <w:r w:rsidRPr="0083722E">
              <w:rPr>
                <w:rFonts w:hint="eastAsia"/>
              </w:rPr>
              <w:t>，只需兩顆</w:t>
            </w:r>
            <w:r w:rsidRPr="0083722E">
              <w:t>5</w:t>
            </w:r>
            <w:r w:rsidRPr="0083722E">
              <w:rPr>
                <w:rFonts w:hint="eastAsia"/>
              </w:rPr>
              <w:t>號電池就能使用</w:t>
            </w:r>
            <w:r w:rsidRPr="0083722E">
              <w:t>6</w:t>
            </w:r>
            <w:r w:rsidRPr="0083722E">
              <w:rPr>
                <w:rFonts w:hint="eastAsia"/>
              </w:rPr>
              <w:t>個小</w:t>
            </w:r>
            <w:r w:rsidRPr="0083722E">
              <w:rPr>
                <w:rFonts w:ascii="MS Mincho" w:eastAsia="MS Mincho" w:hAnsi="MS Mincho" w:cs="MS Mincho"/>
              </w:rPr>
              <w:t>​​</w:t>
            </w:r>
            <w:r w:rsidRPr="0083722E">
              <w:rPr>
                <w:rFonts w:ascii="新細明體" w:eastAsia="新細明體" w:hAnsi="新細明體" w:cs="新細明體" w:hint="eastAsia"/>
              </w:rPr>
              <w:t>時。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而且重量不足</w:t>
            </w:r>
            <w:r w:rsidRPr="0083722E">
              <w:t>3</w:t>
            </w:r>
            <w:r w:rsidRPr="0083722E">
              <w:rPr>
                <w:rFonts w:hint="eastAsia"/>
              </w:rPr>
              <w:t>盎司，自帶了兩個高解析度的</w:t>
            </w:r>
            <w:r w:rsidRPr="0083722E">
              <w:t>640 x 480 LCD</w:t>
            </w:r>
            <w:r w:rsidRPr="0083722E">
              <w:rPr>
                <w:rFonts w:hint="eastAsia"/>
              </w:rPr>
              <w:t>螢幕。</w:t>
            </w:r>
            <w:r w:rsidRPr="0083722E">
              <w:t xml:space="preserve"> 3D</w:t>
            </w:r>
            <w:r w:rsidRPr="0083722E">
              <w:rPr>
                <w:rFonts w:hint="eastAsia"/>
              </w:rPr>
              <w:t>小配件還支持</w:t>
            </w:r>
            <w:r w:rsidRPr="0083722E">
              <w:t>31</w:t>
            </w:r>
            <w:r w:rsidRPr="0083722E">
              <w:rPr>
                <w:rFonts w:hint="eastAsia"/>
              </w:rPr>
              <w:t>外形與太陽鏡相同，瀏覽效果相當於從</w:t>
            </w:r>
            <w:r w:rsidRPr="0083722E">
              <w:t>10</w:t>
            </w:r>
            <w:r w:rsidRPr="0083722E">
              <w:rPr>
                <w:rFonts w:hint="eastAsia"/>
              </w:rPr>
              <w:t>英尺（</w:t>
            </w:r>
            <w:r w:rsidRPr="0083722E">
              <w:t>3.05</w:t>
            </w:r>
            <w:r>
              <w:rPr>
                <w:rFonts w:hint="eastAsia"/>
              </w:rPr>
              <w:t>M</w:t>
            </w:r>
            <w:r w:rsidRPr="0083722E">
              <w:rPr>
                <w:rFonts w:hint="eastAsia"/>
              </w:rPr>
              <w:t>）外觀賞</w:t>
            </w:r>
            <w:r w:rsidRPr="0083722E">
              <w:t>67</w:t>
            </w:r>
            <w:r w:rsidRPr="0083722E">
              <w:rPr>
                <w:rFonts w:hint="eastAsia"/>
              </w:rPr>
              <w:t>英寸（</w:t>
            </w:r>
            <w:r w:rsidRPr="0083722E">
              <w:t>170.18</w:t>
            </w:r>
            <w:r>
              <w:rPr>
                <w:rFonts w:hint="eastAsia"/>
              </w:rPr>
              <w:t>M</w:t>
            </w:r>
            <w:r w:rsidRPr="0083722E">
              <w:rPr>
                <w:rFonts w:hint="eastAsia"/>
              </w:rPr>
              <w:t>）虛擬螢幕，使用者可以</w:t>
            </w:r>
            <w:proofErr w:type="gramStart"/>
            <w:r w:rsidRPr="0083722E">
              <w:rPr>
                <w:rFonts w:hint="eastAsia"/>
              </w:rPr>
              <w:t>配戴該眼鏡</w:t>
            </w:r>
            <w:proofErr w:type="gramEnd"/>
            <w:r w:rsidRPr="0083722E">
              <w:rPr>
                <w:rFonts w:hint="eastAsia"/>
              </w:rPr>
              <w:t>在泳池邊或三萬五千英尺高空的飛機上觀看到清晰的</w:t>
            </w:r>
            <w:r w:rsidRPr="0083722E">
              <w:t>2D</w:t>
            </w:r>
            <w:r w:rsidRPr="0083722E">
              <w:rPr>
                <w:rFonts w:hint="eastAsia"/>
              </w:rPr>
              <w:t>和</w:t>
            </w:r>
            <w:r w:rsidRPr="0083722E">
              <w:t>3D</w:t>
            </w:r>
            <w:r w:rsidRPr="0083722E">
              <w:rPr>
                <w:rFonts w:hint="eastAsia"/>
              </w:rPr>
              <w:t>視頻圖像。</w:t>
            </w:r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商品規格</w:t>
            </w:r>
          </w:p>
        </w:tc>
        <w:tc>
          <w:tcPr>
            <w:tcW w:w="7545" w:type="dxa"/>
          </w:tcPr>
          <w:p w:rsidR="00E32A2D" w:rsidRPr="0083722E" w:rsidRDefault="0083722E" w:rsidP="0083722E">
            <w:pPr>
              <w:pStyle w:val="a9"/>
              <w:rPr>
                <w:rFonts w:hint="eastAsia"/>
              </w:rPr>
            </w:pPr>
            <w:r w:rsidRPr="0083722E">
              <w:rPr>
                <w:rFonts w:hint="eastAsia"/>
              </w:rPr>
              <w:t>瀏覽效果相當於從</w:t>
            </w:r>
            <w:r w:rsidRPr="0083722E">
              <w:t>10</w:t>
            </w:r>
            <w:r w:rsidRPr="0083722E">
              <w:rPr>
                <w:rFonts w:hint="eastAsia"/>
              </w:rPr>
              <w:t>英尺</w:t>
            </w:r>
            <w:r w:rsidRPr="0083722E">
              <w:t>(</w:t>
            </w:r>
            <w:r w:rsidRPr="0083722E">
              <w:rPr>
                <w:rFonts w:hint="eastAsia"/>
              </w:rPr>
              <w:t>約</w:t>
            </w:r>
            <w:r w:rsidRPr="0083722E">
              <w:t>3</w:t>
            </w:r>
            <w:r>
              <w:rPr>
                <w:rFonts w:hint="eastAsia"/>
              </w:rPr>
              <w:t>M</w:t>
            </w:r>
            <w:r w:rsidRPr="0083722E">
              <w:t>)</w:t>
            </w:r>
            <w:r w:rsidRPr="0083722E">
              <w:rPr>
                <w:rFonts w:hint="eastAsia"/>
              </w:rPr>
              <w:t>外的地方觀賞</w:t>
            </w:r>
            <w:r w:rsidRPr="0083722E">
              <w:t>67</w:t>
            </w:r>
            <w:r w:rsidRPr="0083722E">
              <w:rPr>
                <w:rFonts w:hint="eastAsia"/>
              </w:rPr>
              <w:t>英寸螢幕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雙高解析度</w:t>
            </w:r>
            <w:r w:rsidRPr="0083722E">
              <w:t>640 x 480</w:t>
            </w:r>
            <w:proofErr w:type="gramStart"/>
            <w:r w:rsidRPr="0083722E">
              <w:rPr>
                <w:rFonts w:hint="eastAsia"/>
              </w:rPr>
              <w:t>液晶寬屏顯示器</w:t>
            </w:r>
            <w:proofErr w:type="gramEnd"/>
            <w:r w:rsidRPr="0083722E">
              <w:t xml:space="preserve"> 24</w:t>
            </w:r>
            <w:r w:rsidRPr="0083722E">
              <w:rPr>
                <w:rFonts w:hint="eastAsia"/>
              </w:rPr>
              <w:t>位元真彩色</w:t>
            </w:r>
            <w:r w:rsidRPr="0083722E">
              <w:t>(16</w:t>
            </w:r>
            <w:r w:rsidRPr="0083722E">
              <w:rPr>
                <w:rFonts w:hint="eastAsia"/>
              </w:rPr>
              <w:t>萬色</w:t>
            </w:r>
            <w:r w:rsidRPr="0083722E">
              <w:t xml:space="preserve">) </w:t>
            </w:r>
            <w:proofErr w:type="gramStart"/>
            <w:r w:rsidRPr="0083722E">
              <w:t>60</w:t>
            </w:r>
            <w:r w:rsidRPr="0083722E">
              <w:rPr>
                <w:rFonts w:hint="eastAsia"/>
              </w:rPr>
              <w:t>赫茲逐行掃描</w:t>
            </w:r>
            <w:proofErr w:type="gramEnd"/>
            <w:r w:rsidRPr="0083722E">
              <w:rPr>
                <w:rFonts w:hint="eastAsia"/>
              </w:rPr>
              <w:t>更新率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超低視頻失真</w:t>
            </w:r>
            <w:r w:rsidRPr="0083722E">
              <w:t xml:space="preserve"> 31</w:t>
            </w:r>
            <w:r w:rsidRPr="0083722E">
              <w:rPr>
                <w:rFonts w:hint="eastAsia"/>
              </w:rPr>
              <w:t>度對角視域</w:t>
            </w:r>
          </w:p>
          <w:p w:rsidR="0083722E" w:rsidRPr="0083722E" w:rsidRDefault="0083722E" w:rsidP="0083722E">
            <w:pPr>
              <w:pStyle w:val="a9"/>
            </w:pPr>
            <w:r w:rsidRPr="0083722E">
              <w:rPr>
                <w:rStyle w:val="a8"/>
                <w:rFonts w:hint="eastAsia"/>
              </w:rPr>
              <w:t>蘋果公司的</w:t>
            </w:r>
            <w:r w:rsidRPr="0083722E">
              <w:rPr>
                <w:rStyle w:val="a8"/>
              </w:rPr>
              <w:t xml:space="preserve">iPod / </w:t>
            </w:r>
            <w:proofErr w:type="spellStart"/>
            <w:r w:rsidRPr="0083722E">
              <w:rPr>
                <w:rStyle w:val="a8"/>
              </w:rPr>
              <w:t>iPhone</w:t>
            </w:r>
            <w:proofErr w:type="spellEnd"/>
            <w:r w:rsidRPr="0083722E">
              <w:rPr>
                <w:rStyle w:val="a8"/>
              </w:rPr>
              <w:t xml:space="preserve"> / iPod touch </w:t>
            </w:r>
            <w:r w:rsidRPr="0083722E">
              <w:rPr>
                <w:rStyle w:val="a8"/>
                <w:rFonts w:hint="eastAsia"/>
              </w:rPr>
              <w:t>媒體播放機</w:t>
            </w:r>
            <w:r w:rsidRPr="0083722E">
              <w:rPr>
                <w:rStyle w:val="a8"/>
              </w:rPr>
              <w:t xml:space="preserve"> </w:t>
            </w:r>
            <w:r w:rsidRPr="0083722E">
              <w:rPr>
                <w:rStyle w:val="a8"/>
                <w:rFonts w:hint="eastAsia"/>
              </w:rPr>
              <w:t>便攜式</w:t>
            </w:r>
            <w:r w:rsidRPr="0083722E">
              <w:rPr>
                <w:rStyle w:val="a8"/>
              </w:rPr>
              <w:t>DVD</w:t>
            </w:r>
            <w:r w:rsidRPr="0083722E">
              <w:rPr>
                <w:rStyle w:val="a8"/>
                <w:rFonts w:hint="eastAsia"/>
              </w:rPr>
              <w:t>播放機</w:t>
            </w:r>
            <w:r w:rsidRPr="0083722E">
              <w:rPr>
                <w:rStyle w:val="a8"/>
              </w:rPr>
              <w:t xml:space="preserve"> </w:t>
            </w:r>
            <w:r w:rsidRPr="0083722E">
              <w:rPr>
                <w:rStyle w:val="a8"/>
                <w:rFonts w:hint="eastAsia"/>
              </w:rPr>
              <w:t>所有復合視頻媒體播放機</w:t>
            </w:r>
            <w:r w:rsidRPr="0083722E">
              <w:rPr>
                <w:rStyle w:val="a8"/>
              </w:rPr>
              <w:t xml:space="preserve"> </w:t>
            </w:r>
            <w:r w:rsidRPr="0083722E">
              <w:rPr>
                <w:rStyle w:val="a8"/>
                <w:rFonts w:hint="eastAsia"/>
              </w:rPr>
              <w:t>數</w:t>
            </w:r>
            <w:r>
              <w:rPr>
                <w:rStyle w:val="a8"/>
                <w:rFonts w:hint="eastAsia"/>
              </w:rPr>
              <w:t>位</w:t>
            </w:r>
            <w:r w:rsidRPr="0083722E">
              <w:rPr>
                <w:rStyle w:val="a8"/>
                <w:rFonts w:hint="eastAsia"/>
              </w:rPr>
              <w:t>相機</w:t>
            </w:r>
            <w:r>
              <w:rPr>
                <w:rStyle w:val="a8"/>
                <w:rFonts w:hint="eastAsia"/>
              </w:rPr>
              <w:t>/</w:t>
            </w:r>
            <w:r>
              <w:rPr>
                <w:rStyle w:val="a8"/>
                <w:rFonts w:hint="eastAsia"/>
              </w:rPr>
              <w:t>攝影</w:t>
            </w:r>
            <w:r w:rsidRPr="0083722E">
              <w:rPr>
                <w:rStyle w:val="a8"/>
                <w:rFonts w:hint="eastAsia"/>
              </w:rPr>
              <w:t>機</w:t>
            </w:r>
            <w:r w:rsidRPr="0083722E">
              <w:rPr>
                <w:rStyle w:val="a8"/>
              </w:rPr>
              <w:t xml:space="preserve"> </w:t>
            </w:r>
            <w:r>
              <w:rPr>
                <w:rStyle w:val="a8"/>
                <w:rFonts w:hint="eastAsia"/>
              </w:rPr>
              <w:t>/</w:t>
            </w:r>
            <w:r w:rsidRPr="0083722E">
              <w:rPr>
                <w:rStyle w:val="a8"/>
                <w:rFonts w:hint="eastAsia"/>
              </w:rPr>
              <w:t>有輸出功能的</w:t>
            </w:r>
            <w:r>
              <w:rPr>
                <w:rStyle w:val="a8"/>
                <w:rFonts w:hint="eastAsia"/>
              </w:rPr>
              <w:t>手機</w:t>
            </w:r>
          </w:p>
        </w:tc>
      </w:tr>
      <w:tr w:rsidR="00D64EF7" w:rsidRPr="0083722E" w:rsidTr="00E32A2D">
        <w:tc>
          <w:tcPr>
            <w:tcW w:w="1702" w:type="dxa"/>
          </w:tcPr>
          <w:p w:rsidR="00D64EF7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商品配件</w:t>
            </w:r>
          </w:p>
        </w:tc>
        <w:tc>
          <w:tcPr>
            <w:tcW w:w="7545" w:type="dxa"/>
          </w:tcPr>
          <w:p w:rsidR="00D64EF7" w:rsidRPr="0083722E" w:rsidRDefault="0083722E" w:rsidP="0083722E">
            <w:pPr>
              <w:pStyle w:val="a9"/>
              <w:rPr>
                <w:rStyle w:val="a8"/>
                <w:szCs w:val="14"/>
              </w:rPr>
            </w:pPr>
            <w:r w:rsidRPr="0083722E">
              <w:t>Wrap 920</w:t>
            </w:r>
            <w:r w:rsidRPr="0083722E">
              <w:rPr>
                <w:rFonts w:hint="eastAsia"/>
              </w:rPr>
              <w:t>視頻眼鏡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複合</w:t>
            </w:r>
            <w:r w:rsidRPr="0083722E">
              <w:t>AV</w:t>
            </w:r>
            <w:r w:rsidRPr="0083722E">
              <w:rPr>
                <w:rFonts w:hint="eastAsia"/>
              </w:rPr>
              <w:t>連接線（</w:t>
            </w:r>
            <w:r w:rsidRPr="0083722E">
              <w:t>RCA</w:t>
            </w:r>
            <w:r w:rsidRPr="0083722E">
              <w:rPr>
                <w:rFonts w:hint="eastAsia"/>
              </w:rPr>
              <w:t>）</w:t>
            </w:r>
            <w:r w:rsidRPr="0083722E">
              <w:t xml:space="preserve"> iPod / </w:t>
            </w:r>
            <w:proofErr w:type="spellStart"/>
            <w:r w:rsidRPr="0083722E">
              <w:t>iPhone</w:t>
            </w:r>
            <w:proofErr w:type="spellEnd"/>
            <w:r w:rsidRPr="0083722E">
              <w:rPr>
                <w:rFonts w:hint="eastAsia"/>
              </w:rPr>
              <w:t>專用複合</w:t>
            </w:r>
            <w:r w:rsidRPr="0083722E">
              <w:t>AV</w:t>
            </w:r>
            <w:r w:rsidRPr="0083722E">
              <w:rPr>
                <w:rFonts w:hint="eastAsia"/>
              </w:rPr>
              <w:t>連接線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兩</w:t>
            </w:r>
            <w:r>
              <w:rPr>
                <w:rFonts w:hint="eastAsia"/>
              </w:rPr>
              <w:t>顆</w:t>
            </w:r>
            <w:r w:rsidRPr="0083722E">
              <w:t>AA</w:t>
            </w:r>
            <w:r w:rsidRPr="0083722E">
              <w:rPr>
                <w:rFonts w:hint="eastAsia"/>
              </w:rPr>
              <w:t>鹼性電池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可拆卸優質噪音隔離耳機</w:t>
            </w:r>
            <w:r w:rsidRPr="0083722E">
              <w:t xml:space="preserve"> </w:t>
            </w:r>
            <w:r w:rsidRPr="0083722E">
              <w:rPr>
                <w:rFonts w:hint="eastAsia"/>
              </w:rPr>
              <w:t>三種規格的噪音</w:t>
            </w:r>
            <w:proofErr w:type="gramStart"/>
            <w:r w:rsidRPr="0083722E">
              <w:rPr>
                <w:rFonts w:hint="eastAsia"/>
              </w:rPr>
              <w:t>隔離插片</w:t>
            </w:r>
            <w:proofErr w:type="gramEnd"/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技術教學</w:t>
            </w:r>
          </w:p>
        </w:tc>
        <w:tc>
          <w:tcPr>
            <w:tcW w:w="7545" w:type="dxa"/>
          </w:tcPr>
          <w:p w:rsidR="00E32A2D" w:rsidRPr="0083722E" w:rsidRDefault="00E32A2D" w:rsidP="0083722E">
            <w:pPr>
              <w:pStyle w:val="a9"/>
            </w:pPr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商品售價</w:t>
            </w:r>
          </w:p>
        </w:tc>
        <w:tc>
          <w:tcPr>
            <w:tcW w:w="7545" w:type="dxa"/>
          </w:tcPr>
          <w:p w:rsidR="00E32A2D" w:rsidRPr="0083722E" w:rsidRDefault="0083722E" w:rsidP="0083722E">
            <w:pPr>
              <w:pStyle w:val="a9"/>
            </w:pPr>
            <w:r>
              <w:rPr>
                <w:rFonts w:hint="eastAsia"/>
              </w:rPr>
              <w:t>18500</w:t>
            </w:r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備註</w:t>
            </w:r>
          </w:p>
        </w:tc>
        <w:tc>
          <w:tcPr>
            <w:tcW w:w="7545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本商品保固</w:t>
            </w:r>
            <w:r w:rsidRPr="0083722E">
              <w:t>1</w:t>
            </w:r>
            <w:r w:rsidRPr="0083722E">
              <w:rPr>
                <w:rFonts w:hint="eastAsia"/>
              </w:rPr>
              <w:t>年</w:t>
            </w:r>
          </w:p>
        </w:tc>
      </w:tr>
      <w:tr w:rsidR="00E32A2D" w:rsidRPr="0083722E" w:rsidTr="00E32A2D">
        <w:tc>
          <w:tcPr>
            <w:tcW w:w="1702" w:type="dxa"/>
          </w:tcPr>
          <w:p w:rsidR="00E32A2D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運費</w:t>
            </w:r>
          </w:p>
        </w:tc>
        <w:tc>
          <w:tcPr>
            <w:tcW w:w="7545" w:type="dxa"/>
          </w:tcPr>
          <w:p w:rsidR="00CE245B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運費</w:t>
            </w:r>
            <w:r>
              <w:rPr>
                <w:rFonts w:hint="eastAsia"/>
              </w:rPr>
              <w:t>100</w:t>
            </w:r>
          </w:p>
          <w:p w:rsidR="005D7948" w:rsidRPr="0083722E" w:rsidRDefault="0083722E" w:rsidP="0083722E">
            <w:pPr>
              <w:pStyle w:val="a9"/>
            </w:pPr>
            <w:r w:rsidRPr="0083722E">
              <w:rPr>
                <w:rFonts w:hint="eastAsia"/>
              </w:rPr>
              <w:t>貨到付款</w:t>
            </w:r>
            <w:r>
              <w:rPr>
                <w:rFonts w:hint="eastAsia"/>
              </w:rPr>
              <w:t>500</w:t>
            </w:r>
          </w:p>
        </w:tc>
      </w:tr>
    </w:tbl>
    <w:p w:rsidR="003C7AA8" w:rsidRPr="0083722E" w:rsidRDefault="003C7AA8" w:rsidP="0083722E">
      <w:pPr>
        <w:pStyle w:val="a9"/>
      </w:pPr>
    </w:p>
    <w:sectPr w:rsidR="003C7AA8" w:rsidRPr="0083722E" w:rsidSect="003C7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2E" w:rsidRDefault="0083722E" w:rsidP="00E32A2D">
      <w:r>
        <w:separator/>
      </w:r>
    </w:p>
  </w:endnote>
  <w:endnote w:type="continuationSeparator" w:id="0">
    <w:p w:rsidR="0083722E" w:rsidRDefault="0083722E" w:rsidP="00E3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2E" w:rsidRDefault="0083722E" w:rsidP="00E32A2D">
      <w:r>
        <w:separator/>
      </w:r>
    </w:p>
  </w:footnote>
  <w:footnote w:type="continuationSeparator" w:id="0">
    <w:p w:rsidR="0083722E" w:rsidRDefault="0083722E" w:rsidP="00E32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A2D"/>
    <w:rsid w:val="00355E02"/>
    <w:rsid w:val="003C7AA8"/>
    <w:rsid w:val="005D7948"/>
    <w:rsid w:val="0074390F"/>
    <w:rsid w:val="0083722E"/>
    <w:rsid w:val="009016BC"/>
    <w:rsid w:val="00A5015C"/>
    <w:rsid w:val="00C133A4"/>
    <w:rsid w:val="00CE245B"/>
    <w:rsid w:val="00D64EF7"/>
    <w:rsid w:val="00E32A2D"/>
    <w:rsid w:val="00F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39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2A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2A2D"/>
    <w:rPr>
      <w:sz w:val="20"/>
      <w:szCs w:val="20"/>
    </w:rPr>
  </w:style>
  <w:style w:type="table" w:styleId="a7">
    <w:name w:val="Table Grid"/>
    <w:basedOn w:val="a1"/>
    <w:uiPriority w:val="59"/>
    <w:rsid w:val="00E3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4390F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439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74390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4390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9</cp:revision>
  <dcterms:created xsi:type="dcterms:W3CDTF">2011-03-15T09:02:00Z</dcterms:created>
  <dcterms:modified xsi:type="dcterms:W3CDTF">2011-05-16T06:08:00Z</dcterms:modified>
</cp:coreProperties>
</file>